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Kyiv International Emigration &amp; Luxury Property Expo</w:t>
      </w:r>
    </w:p>
    <w:p w:rsidR="00000000" w:rsidDel="00000000" w:rsidP="00000000" w:rsidRDefault="00000000" w:rsidRPr="00000000" w14:paraId="0000000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563c1"/>
            <w:u w:val="single"/>
            <w:rtl w:val="0"/>
          </w:rPr>
          <w:t xml:space="preserve">The Kyiv International Emigration &amp; Luxury Property Expo</w:t>
        </w:r>
      </w:hyperlink>
      <w:r w:rsidDel="00000000" w:rsidR="00000000" w:rsidRPr="00000000">
        <w:rPr>
          <w:rFonts w:ascii="Times New Roman" w:cs="Times New Roman" w:eastAsia="Times New Roman" w:hAnsi="Times New Roman"/>
          <w:rtl w:val="0"/>
        </w:rPr>
        <w:t xml:space="preserve">, a large-scale conference and exhibition dedicated to immigration and upscale real estate, was held on 26 - 27 April 2018 at the </w:t>
      </w:r>
      <w:r w:rsidDel="00000000" w:rsidR="00000000" w:rsidRPr="00000000">
        <w:rPr>
          <w:rFonts w:ascii="Times New Roman" w:cs="Times New Roman" w:eastAsia="Times New Roman" w:hAnsi="Times New Roman"/>
          <w:color w:val="000000"/>
          <w:rtl w:val="0"/>
        </w:rPr>
        <w:t xml:space="preserve">Hyatt Regency Kyiv</w:t>
      </w:r>
      <w:r w:rsidDel="00000000" w:rsidR="00000000" w:rsidRPr="00000000">
        <w:rPr>
          <w:rFonts w:ascii="Times New Roman" w:cs="Times New Roman" w:eastAsia="Times New Roman" w:hAnsi="Times New Roman"/>
          <w:rtl w:val="0"/>
        </w:rPr>
        <w:t xml:space="preserve">. It combined a conference on the first day (26 April), with an exhibition, workshops, and networking opportunities on the second day (27 April). </w:t>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Exhibitors and Attendees </w:t>
      </w:r>
    </w:p>
    <w:p w:rsidR="00000000" w:rsidDel="00000000" w:rsidP="00000000" w:rsidRDefault="00000000" w:rsidRPr="00000000" w14:paraId="0000000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brought together companies from 30 countries, including the USA, Canada, Great Britain, Portugal, France, Germany, Italy, Spain, Switzerland, Cyprus, Malta, and other EU countries. Exhibitors included immigration companies, luxury property developers, law firms, financial consultancies, and private banks. </w:t>
      </w:r>
    </w:p>
    <w:p w:rsidR="00000000" w:rsidDel="00000000" w:rsidP="00000000" w:rsidRDefault="00000000" w:rsidRPr="00000000" w14:paraId="00000007">
      <w:pPr>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was attended by global B2B companies and recognized industry leaders, including representatives of immigration agencies, law firms, international real estate agencies, and consultancies. Other visitors included private individuals interested in immigration, acquisition of luxury real estate and personal financial consulting services, international entrepreneurs, buyers of international real estate, and prospective immigrants. Visitors came from Kyiv, Lviv, Kharkiv, Dnipro, and other large cities of Ukraine. </w:t>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We Delivered</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Leading companies from more than 30 countries.</w:t>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primary target audience: Direct clients (potential immigrants and real estate buyers).</w:t>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opportunity to contact prospective partners from 30 countries (B2B visitors).</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opportunity to speak to the target audience at the conference.</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Access to an online appointment scheduling system to help the exhibitors and attendees plan their participation and manage their itinerary.</w:t>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Access to an exclusive database, featuring contact information for prospective clients and partners from more than 30 countries.</w:t>
      </w:r>
    </w:p>
    <w:p w:rsidR="00000000" w:rsidDel="00000000" w:rsidP="00000000" w:rsidRDefault="00000000" w:rsidRPr="00000000" w14:paraId="0000001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follow</w:t>
      </w:r>
      <w:hyperlink r:id="rId7">
        <w:r w:rsidDel="00000000" w:rsidR="00000000" w:rsidRPr="00000000">
          <w:rPr>
            <w:rFonts w:ascii="Times New Roman" w:cs="Times New Roman" w:eastAsia="Times New Roman" w:hAnsi="Times New Roman"/>
            <w:b w:val="1"/>
            <w:color w:val="1155cc"/>
            <w:u w:val="single"/>
            <w:rtl w:val="0"/>
          </w:rPr>
          <w:t xml:space="preserve"> the link </w:t>
        </w:r>
      </w:hyperlink>
      <w:r w:rsidDel="00000000" w:rsidR="00000000" w:rsidRPr="00000000">
        <w:rPr>
          <w:rFonts w:ascii="Times New Roman" w:cs="Times New Roman" w:eastAsia="Times New Roman" w:hAnsi="Times New Roman"/>
          <w:b w:val="1"/>
          <w:rtl w:val="0"/>
        </w:rPr>
        <w:t xml:space="preserve">to view the photo and video gallery.</w:t>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information about the event, please contact the organizer at: info@ielpe.com or +44 20 335 581 11.</w:t>
      </w:r>
    </w:p>
    <w:p w:rsidR="00000000" w:rsidDel="00000000" w:rsidP="00000000" w:rsidRDefault="00000000" w:rsidRPr="00000000" w14:paraId="00000016">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sectPr>
      <w:headerReference r:id="rId8" w:type="default"/>
      <w:pgSz w:h="16840" w:w="11900"/>
      <w:pgMar w:bottom="1440" w:top="2056" w:left="101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77"/>
        <w:tab w:val="right" w:pos="9355"/>
      </w:tabs>
      <w:contextualSpacing w:val="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-594993</wp:posOffset>
          </wp:positionH>
          <wp:positionV relativeFrom="paragraph">
            <wp:posOffset>-561338</wp:posOffset>
          </wp:positionV>
          <wp:extent cx="7664303" cy="137414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64303" cy="1374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elpe.com/en/kyiv" TargetMode="External"/><Relationship Id="rId7" Type="http://schemas.openxmlformats.org/officeDocument/2006/relationships/hyperlink" Target="https://drive.google.com/drive/folders/1Hqpm0M-pgdscD96z7xQfgSExjwUp3TNi"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